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  <w:right w:w="40" w:type="dxa"/>
        </w:tblCellMar>
        <w:tblLook w:val="0000" w:firstRow="0" w:lastRow="0" w:firstColumn="0" w:lastColumn="0" w:noHBand="0" w:noVBand="0"/>
      </w:tblPr>
      <w:tblGrid>
        <w:gridCol w:w="326"/>
        <w:gridCol w:w="1987"/>
        <w:gridCol w:w="1182"/>
        <w:gridCol w:w="3892"/>
        <w:gridCol w:w="2820"/>
      </w:tblGrid>
      <w:tr w:rsidR="0047722B">
        <w:trPr>
          <w:trHeight w:val="489"/>
        </w:trPr>
        <w:tc>
          <w:tcPr>
            <w:tcW w:w="73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  <w:i/>
              </w:rPr>
            </w:pPr>
            <w:r>
              <w:rPr>
                <w:b/>
                <w:sz w:val="30"/>
                <w:szCs w:val="24"/>
              </w:rPr>
              <w:t xml:space="preserve">KARTA INFORMACYJNA  </w:t>
            </w:r>
            <w:r>
              <w:rPr>
                <w:b/>
                <w:sz w:val="30"/>
                <w:szCs w:val="24"/>
                <w:shd w:val="clear" w:color="auto" w:fill="EEECE1"/>
              </w:rPr>
              <w:t>Urzędu</w:t>
            </w:r>
            <w:r>
              <w:rPr>
                <w:b/>
                <w:sz w:val="30"/>
                <w:szCs w:val="24"/>
              </w:rPr>
              <w:t xml:space="preserve"> Miasta Ostrołęki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1330325" cy="1021080"/>
                  <wp:effectExtent l="0" t="0" r="0" b="0"/>
                  <wp:docPr id="1" name="Obraz 1" descr="log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22B">
        <w:trPr>
          <w:trHeight w:val="465"/>
        </w:trPr>
        <w:tc>
          <w:tcPr>
            <w:tcW w:w="7386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Wydział Uprawnień Komunikacyjnych</w:t>
            </w:r>
          </w:p>
        </w:tc>
        <w:tc>
          <w:tcPr>
            <w:tcW w:w="2820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47722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7722B">
        <w:trPr>
          <w:trHeight w:val="255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(Symbol komórki </w:t>
            </w:r>
            <w:r>
              <w:rPr>
                <w:sz w:val="16"/>
                <w:szCs w:val="16"/>
              </w:rPr>
              <w:br/>
              <w:t>organizacyjnej)</w:t>
            </w:r>
          </w:p>
        </w:tc>
        <w:tc>
          <w:tcPr>
            <w:tcW w:w="118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karty</w:t>
            </w:r>
          </w:p>
        </w:tc>
        <w:tc>
          <w:tcPr>
            <w:tcW w:w="389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Aktualna wersja karty z dnia:</w:t>
            </w:r>
          </w:p>
        </w:tc>
        <w:tc>
          <w:tcPr>
            <w:tcW w:w="2821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47722B">
            <w:pPr>
              <w:jc w:val="center"/>
              <w:rPr>
                <w:sz w:val="16"/>
                <w:szCs w:val="16"/>
              </w:rPr>
            </w:pPr>
          </w:p>
        </w:tc>
      </w:tr>
      <w:tr w:rsidR="0047722B">
        <w:trPr>
          <w:trHeight w:val="855"/>
        </w:trPr>
        <w:tc>
          <w:tcPr>
            <w:tcW w:w="2311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WUK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13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center"/>
            </w:pPr>
            <w:r>
              <w:rPr>
                <w:b/>
                <w:sz w:val="24"/>
                <w:szCs w:val="24"/>
              </w:rPr>
              <w:t>2023.04.11</w:t>
            </w:r>
          </w:p>
        </w:tc>
        <w:tc>
          <w:tcPr>
            <w:tcW w:w="2821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47722B">
            <w:pPr>
              <w:shd w:val="clear" w:color="auto" w:fill="FFFFFF"/>
              <w:rPr>
                <w:b/>
                <w:i/>
              </w:rPr>
            </w:pPr>
          </w:p>
        </w:tc>
      </w:tr>
      <w:tr w:rsidR="0047722B">
        <w:trPr>
          <w:trHeight w:hRule="exact" w:val="142"/>
        </w:trPr>
        <w:tc>
          <w:tcPr>
            <w:tcW w:w="102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722B" w:rsidRDefault="0047722B">
            <w:pPr>
              <w:jc w:val="center"/>
              <w:rPr>
                <w:sz w:val="12"/>
              </w:rPr>
            </w:pPr>
          </w:p>
        </w:tc>
      </w:tr>
      <w:tr w:rsidR="0047722B">
        <w:tc>
          <w:tcPr>
            <w:tcW w:w="2311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7895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pStyle w:val="Nagwek2"/>
              <w:spacing w:before="280"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Czasowe wycofanie pojazdu z ruchu</w:t>
            </w:r>
          </w:p>
        </w:tc>
      </w:tr>
      <w:tr w:rsidR="0047722B">
        <w:trPr>
          <w:trHeight w:val="5325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Osoby odpowiedzialne za daną</w:t>
            </w:r>
            <w:r>
              <w:rPr>
                <w:b/>
              </w:rPr>
              <w:t xml:space="preserve"> usługę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Ewa Wójcicka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Aleksandra Choroszewska</w:t>
            </w:r>
            <w:r>
              <w:rPr>
                <w:sz w:val="24"/>
                <w:szCs w:val="24"/>
              </w:rPr>
              <w:br/>
              <w:t>ul. gen. Tadeusza Kościuszki 45, pokój 109 (I piętro)</w:t>
            </w:r>
            <w:r>
              <w:rPr>
                <w:sz w:val="24"/>
                <w:szCs w:val="24"/>
              </w:rPr>
              <w:br/>
              <w:t>tel. (+48 29) 764 68 11 w. 246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Mirosława Zera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Agata </w:t>
            </w:r>
            <w:proofErr w:type="spellStart"/>
            <w:r>
              <w:rPr>
                <w:b/>
                <w:bCs/>
                <w:sz w:val="24"/>
                <w:szCs w:val="24"/>
              </w:rPr>
              <w:t>Roicka</w:t>
            </w:r>
            <w:proofErr w:type="spellEnd"/>
            <w:r>
              <w:rPr>
                <w:sz w:val="24"/>
                <w:szCs w:val="24"/>
              </w:rPr>
              <w:br/>
              <w:t>ul. gen. Tadeusza Kościuszki 45, pokój 108 (I piętro)</w:t>
            </w:r>
            <w:r>
              <w:rPr>
                <w:sz w:val="24"/>
                <w:szCs w:val="24"/>
              </w:rPr>
              <w:br/>
              <w:t>tel. +48 (29) 764 68 11 w. 206</w:t>
            </w:r>
          </w:p>
          <w:p w:rsidR="0047722B" w:rsidRDefault="00E87045">
            <w:pPr>
              <w:widowControl/>
              <w:spacing w:beforeAutospacing="1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Angelika Szymaniak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Iwona Grabowska</w:t>
            </w:r>
            <w:r>
              <w:rPr>
                <w:sz w:val="24"/>
                <w:szCs w:val="24"/>
              </w:rPr>
              <w:br/>
              <w:t>ul. gen. Tadeusza Kościuszki 45, pokój 103 (I piętro)</w:t>
            </w:r>
            <w:r>
              <w:rPr>
                <w:sz w:val="24"/>
                <w:szCs w:val="24"/>
              </w:rPr>
              <w:br/>
              <w:t>tel. (+48 29) 764 68 11 w. 224Angelika Szymaniak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Wioletta </w:t>
            </w:r>
            <w:proofErr w:type="spellStart"/>
            <w:r>
              <w:rPr>
                <w:b/>
                <w:bCs/>
                <w:sz w:val="24"/>
                <w:szCs w:val="24"/>
              </w:rPr>
              <w:t>Miniszewska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Julita Żebrowska </w:t>
            </w:r>
            <w:r>
              <w:rPr>
                <w:sz w:val="24"/>
                <w:szCs w:val="24"/>
              </w:rPr>
              <w:br/>
              <w:t>ul. g</w:t>
            </w:r>
            <w:r>
              <w:rPr>
                <w:sz w:val="24"/>
                <w:szCs w:val="24"/>
              </w:rPr>
              <w:t>en. Tadeusza Kościuszki 45, pokój 104 (I piętro)</w:t>
            </w:r>
            <w:r>
              <w:rPr>
                <w:sz w:val="24"/>
                <w:szCs w:val="24"/>
              </w:rPr>
              <w:br/>
              <w:t>tel. +48 (29) 764 68 11 w. 304</w:t>
            </w:r>
          </w:p>
        </w:tc>
      </w:tr>
      <w:tr w:rsidR="0047722B">
        <w:trPr>
          <w:trHeight w:val="1971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Wymagane dokumenty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widowControl/>
              <w:numPr>
                <w:ilvl w:val="0"/>
                <w:numId w:val="1"/>
              </w:num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Wniosek o czasowe wycofanie pojazdu z ruchu </w:t>
            </w:r>
            <w:r>
              <w:rPr>
                <w:b/>
                <w:bCs/>
                <w:sz w:val="24"/>
                <w:szCs w:val="24"/>
              </w:rPr>
              <w:t>(WUK-W-3 )</w:t>
            </w:r>
            <w:r>
              <w:rPr>
                <w:sz w:val="24"/>
                <w:szCs w:val="24"/>
              </w:rPr>
              <w:br/>
              <w:t xml:space="preserve">Załączniki: 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dowód rejestracyjny,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tablice rejestracyjne,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pełnomocnictwo ( w przypadku działania przez</w:t>
            </w:r>
            <w:r>
              <w:rPr>
                <w:sz w:val="24"/>
                <w:szCs w:val="24"/>
              </w:rPr>
              <w:t xml:space="preserve"> przedstawiciela dla osoby załatwiającej sprawę wraz z dokumentem tożsamości pełnomocnika),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wniesienia opłat,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ubezpieczenia obowiązkowego OC (do wglądu),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dokument określający tożsamość właściciela: </w:t>
            </w:r>
          </w:p>
          <w:p w:rsidR="0047722B" w:rsidRDefault="00E87045">
            <w:pPr>
              <w:widowControl/>
              <w:numPr>
                <w:ilvl w:val="3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osoby fizycznej - dowód osobisty,</w:t>
            </w:r>
          </w:p>
          <w:p w:rsidR="0047722B" w:rsidRDefault="00E87045">
            <w:pPr>
              <w:widowControl/>
              <w:numPr>
                <w:ilvl w:val="3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osoby prawnej - oryginały lub uwierzytelnione kserokopie aktualnego wyciągu z rejestru sądowego oraz zaświadczenie o numerze identyfikacyjnym REGON,</w:t>
            </w:r>
          </w:p>
          <w:p w:rsidR="0047722B" w:rsidRDefault="00E87045">
            <w:pPr>
              <w:widowControl/>
              <w:numPr>
                <w:ilvl w:val="3"/>
                <w:numId w:val="1"/>
              </w:numPr>
              <w:spacing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osób prowadzących działalność gospodarczą oraz spółek cywilnych - wydruk z Centralnej Ewidencji Dz</w:t>
            </w:r>
            <w:r>
              <w:rPr>
                <w:sz w:val="24"/>
                <w:szCs w:val="24"/>
              </w:rPr>
              <w:t>iałalności Gospodarczej (dla każdej osoby fizycznej, na którą będzie zarejestrowany pojazd oraz dokumenty tożsamości, w przypadku spółki dodatkowo umowa spółki).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Przedłużenie czasowego wycofania pojazdu z ruchu </w:t>
            </w:r>
            <w:r>
              <w:rPr>
                <w:b/>
                <w:bCs/>
                <w:sz w:val="24"/>
                <w:szCs w:val="24"/>
              </w:rPr>
              <w:t>(WUK-W-3)</w:t>
            </w:r>
            <w:r>
              <w:rPr>
                <w:sz w:val="24"/>
                <w:szCs w:val="24"/>
              </w:rPr>
              <w:t>:</w:t>
            </w:r>
          </w:p>
          <w:p w:rsidR="0047722B" w:rsidRDefault="00E87045">
            <w:pPr>
              <w:widowControl/>
              <w:numPr>
                <w:ilvl w:val="0"/>
                <w:numId w:val="1"/>
              </w:num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o czasowe wycofanie pojazd</w:t>
            </w:r>
            <w:r>
              <w:rPr>
                <w:sz w:val="24"/>
                <w:szCs w:val="24"/>
              </w:rPr>
              <w:t xml:space="preserve">u z ruchu. 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Decyzja o czasowym wycofaniu pojazdu z ruchu.</w:t>
            </w:r>
          </w:p>
          <w:p w:rsidR="0047722B" w:rsidRDefault="00E87045">
            <w:pPr>
              <w:widowControl/>
              <w:numPr>
                <w:ilvl w:val="1"/>
                <w:numId w:val="1"/>
              </w:numPr>
              <w:spacing w:afterAutospacing="1"/>
            </w:pPr>
            <w:r>
              <w:rPr>
                <w:sz w:val="24"/>
                <w:szCs w:val="24"/>
              </w:rPr>
              <w:t>Umowa ubezpieczenia obowiązkowego do wglądu.</w:t>
            </w:r>
          </w:p>
        </w:tc>
      </w:tr>
      <w:tr w:rsidR="0047722B">
        <w:trPr>
          <w:trHeight w:val="80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47722B">
            <w:pPr>
              <w:jc w:val="center"/>
              <w:rPr>
                <w:b/>
              </w:rPr>
            </w:pP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47722B">
            <w:pPr>
              <w:pStyle w:val="NormalnyWeb"/>
              <w:spacing w:before="280" w:after="280"/>
              <w:jc w:val="both"/>
            </w:pPr>
          </w:p>
        </w:tc>
      </w:tr>
      <w:tr w:rsidR="0047722B">
        <w:trPr>
          <w:trHeight w:val="1553"/>
        </w:trPr>
        <w:tc>
          <w:tcPr>
            <w:tcW w:w="3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extDirection w:val="btLr"/>
            <w:vAlign w:val="center"/>
          </w:tcPr>
          <w:p w:rsidR="0047722B" w:rsidRDefault="00E870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Opłata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skarbowa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- od złożenia dokumentu stwierdzającego udzielenie pełnomocnictwa lub prokury albo jego odpisu, wypisu lub kopii 17 zł. (z </w:t>
            </w:r>
            <w:r>
              <w:rPr>
                <w:rFonts w:eastAsia="Arial Unicode MS"/>
                <w:sz w:val="24"/>
                <w:szCs w:val="24"/>
              </w:rPr>
              <w:t>wyłączeniem pełnomocnictwa udzielonego małżonkowi, wstępnemu, zstępnemu lub rodzeństwu, lub gdy mocodawcą jest podmiot zwolniony z opłaty skarbowej).</w:t>
            </w:r>
          </w:p>
        </w:tc>
      </w:tr>
      <w:tr w:rsidR="0047722B">
        <w:trPr>
          <w:trHeight w:val="3326"/>
        </w:trPr>
        <w:tc>
          <w:tcPr>
            <w:tcW w:w="3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vAlign w:val="center"/>
          </w:tcPr>
          <w:p w:rsidR="0047722B" w:rsidRDefault="0047722B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7895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wycofanie pojazdu na okres 2 miesięcy - 80 zł.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Następnie za każdy kolejny miesiąc : 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3 do 12 </w:t>
            </w:r>
            <w:r>
              <w:rPr>
                <w:sz w:val="24"/>
                <w:szCs w:val="24"/>
              </w:rPr>
              <w:t>miesiąca - 4 zł.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13 do 24 miesiąca - 2 zł.</w:t>
            </w:r>
          </w:p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25 do 48 miesiąca - 0,25 zł.</w:t>
            </w:r>
          </w:p>
        </w:tc>
      </w:tr>
      <w:tr w:rsidR="0047722B">
        <w:trPr>
          <w:trHeight w:val="968"/>
        </w:trPr>
        <w:tc>
          <w:tcPr>
            <w:tcW w:w="3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vAlign w:val="center"/>
          </w:tcPr>
          <w:p w:rsidR="0047722B" w:rsidRDefault="0047722B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ewidencyjna</w:t>
            </w:r>
          </w:p>
        </w:tc>
        <w:tc>
          <w:tcPr>
            <w:tcW w:w="7895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podlega.</w:t>
            </w:r>
          </w:p>
        </w:tc>
      </w:tr>
      <w:tr w:rsidR="0047722B">
        <w:trPr>
          <w:trHeight w:val="2124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Miejsce złożenia dokumentów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7722B" w:rsidRDefault="00E87045">
            <w:pPr>
              <w:widowControl/>
              <w:spacing w:beforeAutospacing="1" w:afterAutospacing="1"/>
            </w:pPr>
            <w:r>
              <w:rPr>
                <w:rStyle w:val="Pogrubienie"/>
                <w:sz w:val="24"/>
                <w:szCs w:val="24"/>
              </w:rPr>
              <w:t>Punkt Obsługi Interesantów</w:t>
            </w:r>
            <w:r>
              <w:rPr>
                <w:sz w:val="24"/>
                <w:szCs w:val="24"/>
              </w:rPr>
              <w:br/>
              <w:t>pl. gen. Józefa Bema 1, 07-400 Ostrołęka</w:t>
            </w:r>
            <w:r>
              <w:rPr>
                <w:sz w:val="24"/>
                <w:szCs w:val="24"/>
              </w:rPr>
              <w:br/>
              <w:t>tel. (+48 29) 764 68 11 w. 279 czynny:                </w:t>
            </w:r>
            <w:r>
              <w:rPr>
                <w:sz w:val="24"/>
                <w:szCs w:val="24"/>
              </w:rPr>
              <w:t xml:space="preserve">                               </w:t>
            </w:r>
            <w:r>
              <w:rPr>
                <w:sz w:val="24"/>
                <w:szCs w:val="24"/>
              </w:rPr>
              <w:br/>
              <w:t xml:space="preserve">• poniedziałek, środa, czwartek  - 7:30 -  16:00,                                                        • wtorek  -  7:30 - 17:00,                                                                                             </w:t>
            </w:r>
            <w:r>
              <w:rPr>
                <w:sz w:val="24"/>
                <w:szCs w:val="24"/>
              </w:rPr>
              <w:t>• piątek - 7:30 – 15:00.</w:t>
            </w:r>
          </w:p>
          <w:p w:rsidR="0047722B" w:rsidRDefault="00E87045">
            <w:pPr>
              <w:widowControl/>
              <w:spacing w:before="280" w:after="280"/>
            </w:pPr>
            <w:r>
              <w:rPr>
                <w:rStyle w:val="Pogrubienie"/>
                <w:sz w:val="24"/>
                <w:szCs w:val="24"/>
              </w:rPr>
              <w:t>Punkt Obsługi Interesantów</w:t>
            </w:r>
            <w:r>
              <w:rPr>
                <w:sz w:val="24"/>
                <w:szCs w:val="24"/>
              </w:rPr>
              <w:br/>
              <w:t>ul. gen. Tadeusza Kościuszki 45, 07-400 Ostrołęka</w:t>
            </w:r>
            <w:r>
              <w:rPr>
                <w:sz w:val="24"/>
                <w:szCs w:val="24"/>
              </w:rPr>
              <w:br/>
              <w:t xml:space="preserve">(+48 29) 764 68 11 w. 294 czynny:                                                                              • poniedziałek, środa, czwartek  -  7:30 - </w:t>
            </w:r>
            <w:r>
              <w:rPr>
                <w:sz w:val="24"/>
                <w:szCs w:val="24"/>
              </w:rPr>
              <w:t>16:00,                                                        • wtorek  -  7:30 - 17:00,                                                                                             • piątek  -  7:30 15:00.</w:t>
            </w:r>
          </w:p>
          <w:p w:rsidR="0047722B" w:rsidRDefault="00E87045">
            <w:pPr>
              <w:widowControl/>
              <w:spacing w:before="280" w:after="280"/>
            </w:pPr>
            <w:r>
              <w:rPr>
                <w:rStyle w:val="Pogrubienie"/>
                <w:sz w:val="24"/>
                <w:szCs w:val="24"/>
              </w:rPr>
              <w:t>Wydział Uprawnień  Komunikacyjnych</w:t>
            </w:r>
            <w:r>
              <w:rPr>
                <w:sz w:val="24"/>
                <w:szCs w:val="24"/>
              </w:rPr>
              <w:br/>
              <w:t>ul. gen. Tadeus</w:t>
            </w:r>
            <w:r>
              <w:rPr>
                <w:sz w:val="24"/>
                <w:szCs w:val="24"/>
              </w:rPr>
              <w:t>za Kościuszki 45, 07-400 Ostrołęka</w:t>
            </w:r>
            <w:r>
              <w:rPr>
                <w:sz w:val="24"/>
                <w:szCs w:val="24"/>
              </w:rPr>
              <w:br/>
              <w:t>(+48 29) 764 68 11 w. 206, 220, 224, 246, 304</w:t>
            </w:r>
            <w:r>
              <w:rPr>
                <w:sz w:val="24"/>
                <w:szCs w:val="24"/>
              </w:rPr>
              <w:br/>
            </w:r>
            <w:r>
              <w:rPr>
                <w:rStyle w:val="Pogrubienie"/>
                <w:sz w:val="24"/>
                <w:szCs w:val="24"/>
              </w:rPr>
              <w:t xml:space="preserve">Godziny przyjęć  interesantów:                                                                                                         rejestracja pojazdów:                   </w:t>
            </w:r>
            <w:r>
              <w:rPr>
                <w:rStyle w:val="Pogrubienie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sz w:val="24"/>
                <w:szCs w:val="24"/>
              </w:rPr>
              <w:t xml:space="preserve">• poniedziałek, środa, czwartek -  8:15 - 15:00,                                                      • wtorek -   8:15 - 16:00,                                           </w:t>
            </w:r>
            <w:r>
              <w:rPr>
                <w:sz w:val="24"/>
                <w:szCs w:val="24"/>
              </w:rPr>
              <w:br/>
              <w:t xml:space="preserve">• piątek – </w:t>
            </w:r>
            <w:r>
              <w:rPr>
                <w:sz w:val="24"/>
                <w:szCs w:val="24"/>
              </w:rPr>
              <w:t>8:15 – 14:00.</w:t>
            </w:r>
            <w:r>
              <w:rPr>
                <w:rStyle w:val="Pogrubienie"/>
                <w:sz w:val="24"/>
                <w:szCs w:val="24"/>
              </w:rPr>
              <w:t xml:space="preserve">                                                                                                    Odbiór dowodów rejestracyjnych:                   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• poniedziałek, środa, czwartek -</w:t>
            </w:r>
            <w:r>
              <w:rPr>
                <w:sz w:val="24"/>
                <w:szCs w:val="24"/>
              </w:rPr>
              <w:t xml:space="preserve">  8:15 - 15:00,                                                      • wtorek  -   8:15 - 16:45,                                                                                         • piątek -  8:15 - 14:45.</w:t>
            </w:r>
            <w:bookmarkStart w:id="1" w:name="_GoBack1"/>
            <w:bookmarkEnd w:id="1"/>
          </w:p>
          <w:p w:rsidR="0047722B" w:rsidRDefault="00E87045">
            <w:pPr>
              <w:widowControl/>
              <w:spacing w:before="280" w:after="280"/>
            </w:pPr>
            <w:r>
              <w:rPr>
                <w:rStyle w:val="Pogrubienie"/>
                <w:sz w:val="24"/>
                <w:szCs w:val="24"/>
              </w:rPr>
              <w:t>W każdy dzień roboczy w godzinach od 11:30 do</w:t>
            </w:r>
            <w:r>
              <w:rPr>
                <w:rStyle w:val="Pogrubienie"/>
                <w:sz w:val="24"/>
                <w:szCs w:val="24"/>
              </w:rPr>
              <w:t xml:space="preserve"> 12:30 następuje przerwa techniczna w obsłudze interesantów.                                                                     </w:t>
            </w:r>
          </w:p>
          <w:p w:rsidR="0047722B" w:rsidRDefault="00E87045">
            <w:pPr>
              <w:widowControl/>
              <w:spacing w:before="280" w:after="280"/>
            </w:pPr>
            <w:r>
              <w:rPr>
                <w:rStyle w:val="Pogrubienie"/>
                <w:sz w:val="24"/>
                <w:szCs w:val="24"/>
              </w:rPr>
              <w:t xml:space="preserve">Godziny pracy zgodne z BIP:                    </w:t>
            </w:r>
            <w:r>
              <w:rPr>
                <w:rStyle w:val="Pogrubienie"/>
                <w:sz w:val="24"/>
                <w:szCs w:val="24"/>
                <w:u w:val="single"/>
              </w:rPr>
              <w:t xml:space="preserve">https://bip.um.ostroleka.pl/artykul/9/5/godziny-pracy </w:t>
            </w:r>
            <w:r>
              <w:rPr>
                <w:rStyle w:val="Pogrubienie"/>
                <w:sz w:val="24"/>
                <w:szCs w:val="24"/>
              </w:rPr>
              <w:t xml:space="preserve">   </w:t>
            </w:r>
            <w:r>
              <w:rPr>
                <w:rStyle w:val="Pogrubienie"/>
                <w:sz w:val="24"/>
                <w:szCs w:val="24"/>
              </w:rPr>
              <w:t xml:space="preserve">               </w:t>
            </w:r>
          </w:p>
        </w:tc>
      </w:tr>
      <w:tr w:rsidR="0047722B">
        <w:trPr>
          <w:trHeight w:val="1262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Termin odpowiedzi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Niezwłocznie po złożeniu kompletnych dokumentów. </w:t>
            </w:r>
          </w:p>
        </w:tc>
      </w:tr>
      <w:tr w:rsidR="0047722B">
        <w:trPr>
          <w:trHeight w:val="1545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 xml:space="preserve">Tryb odwoławczy 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Odwołanie wnosi się do Samorządowego Kolegium Odwoławczego w Ostrołęce za pośrednictwem Prezydenta Miasta Ostrołęki (odwołanie składa się w Punkcie Obsługi Interesanta </w:t>
            </w:r>
            <w:r>
              <w:rPr>
                <w:sz w:val="24"/>
                <w:szCs w:val="24"/>
              </w:rPr>
              <w:t>lub w Wydziale Uprawnień Komunikacyjnych) w terminie 14 dni od daty otrzymania decyzji o wycofaniu pojazdu.</w:t>
            </w:r>
          </w:p>
        </w:tc>
      </w:tr>
      <w:tr w:rsidR="0047722B">
        <w:trPr>
          <w:trHeight w:val="65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widowControl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Czasowemu wycofaniu podlegają :</w:t>
            </w:r>
          </w:p>
          <w:p w:rsidR="0047722B" w:rsidRDefault="00E87045">
            <w:pPr>
              <w:widowControl/>
              <w:numPr>
                <w:ilvl w:val="0"/>
                <w:numId w:val="2"/>
              </w:numPr>
              <w:spacing w:before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Autobusy ;</w:t>
            </w:r>
          </w:p>
          <w:p w:rsidR="0047722B" w:rsidRDefault="00E87045">
            <w:pPr>
              <w:widowControl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Samochody ciężarowe i przyczepy o dopuszczalnej masie całkowitej od 3,5 t. ;</w:t>
            </w:r>
          </w:p>
          <w:p w:rsidR="0047722B" w:rsidRDefault="00E87045">
            <w:pPr>
              <w:widowControl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Pojazdy specjalne ;</w:t>
            </w:r>
          </w:p>
          <w:p w:rsidR="0047722B" w:rsidRDefault="00E87045">
            <w:pPr>
              <w:widowControl/>
              <w:numPr>
                <w:ilvl w:val="0"/>
                <w:numId w:val="2"/>
              </w:numPr>
              <w:spacing w:afterAutospacing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Ciągniki samochodowe.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Pojazd może być czasowo wycofany z ruchu na okres od 2 do 24 miesięcy. Okres ten może być przedłużony, jednak łączny okres wycofania pojazdu z ruchu nie może przekraczać 48 miesięcy, licząc od dnia wydania decyzji o jego czasowym wyc</w:t>
            </w:r>
            <w:r>
              <w:rPr>
                <w:sz w:val="24"/>
                <w:szCs w:val="24"/>
              </w:rPr>
              <w:t xml:space="preserve">ofaniu z ruchu. </w:t>
            </w:r>
            <w:r>
              <w:rPr>
                <w:sz w:val="24"/>
                <w:szCs w:val="24"/>
              </w:rPr>
              <w:br/>
              <w:t xml:space="preserve">Okres czasowego wycofania pojazdu z ruchu, na pisemny wniosek właściciela, może ulec skróceniu , z zastrzeżeniem, że nie może on być wycofany na okres krótszy niż 2 miesiące. </w:t>
            </w:r>
            <w:r>
              <w:rPr>
                <w:sz w:val="24"/>
                <w:szCs w:val="24"/>
              </w:rPr>
              <w:br/>
              <w:t>Dowód rejestracyjny oraz tablice rejestracyjne zatrzymuje się w</w:t>
            </w:r>
            <w:r>
              <w:rPr>
                <w:sz w:val="24"/>
                <w:szCs w:val="24"/>
              </w:rPr>
              <w:t xml:space="preserve"> depozycie urzędu do dnia upływu okresu czasowego wycofania pojazdu z ruchu. Czasowego wycofania pojazdu z ruchu dokonuje organ, który dokonał rejestracji tegoż pojazdu.</w:t>
            </w:r>
          </w:p>
          <w:p w:rsidR="0047722B" w:rsidRDefault="00E87045">
            <w:pPr>
              <w:widowControl/>
              <w:spacing w:beforeAutospacing="1" w:afterAutospacing="1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Czasowe wycofanie z ruchu samochodów osobowych</w:t>
            </w:r>
            <w:r>
              <w:rPr>
                <w:sz w:val="24"/>
                <w:szCs w:val="24"/>
              </w:rPr>
              <w:t xml:space="preserve"> w związku z   koniecznością wykonania naprawy pojazdu wynikającej z uszkodzenia zasadniczych elementów nośnych konstrukcji :</w:t>
            </w:r>
          </w:p>
          <w:p w:rsidR="0047722B" w:rsidRDefault="00E87045">
            <w:pPr>
              <w:widowControl/>
              <w:spacing w:beforeAutospacing="1" w:afterAutospacing="1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a) w przypadkach, o których mowa w art. 81 ust. 11 pkt 1 lit. b </w:t>
            </w:r>
            <w:r>
              <w:rPr>
                <w:sz w:val="24"/>
                <w:szCs w:val="24"/>
              </w:rPr>
              <w:t>"który uczestniczył w wypadku drogowym, w którym zostały uszkodzon</w:t>
            </w:r>
            <w:r>
              <w:rPr>
                <w:sz w:val="24"/>
                <w:szCs w:val="24"/>
              </w:rPr>
              <w:t xml:space="preserve">e zasadnicze elementy nośne konstrukcji nadwozia, podwozia lub ramy, lub noszący ślady uszkodzeń albo którego stan techniczny wskazuje na naruszenie elementów nośnych konstrukcji pojazdu, mogące stwarzać zagrożenie dla bezpieczeństwa ruchu drogowego"  </w:t>
            </w:r>
            <w:r>
              <w:rPr>
                <w:b/>
                <w:bCs/>
                <w:sz w:val="24"/>
                <w:szCs w:val="24"/>
              </w:rPr>
              <w:t>oraz</w:t>
            </w:r>
            <w:r>
              <w:rPr>
                <w:b/>
                <w:bCs/>
                <w:sz w:val="24"/>
                <w:szCs w:val="24"/>
              </w:rPr>
              <w:t xml:space="preserve"> pkt 6</w:t>
            </w:r>
            <w:r>
              <w:rPr>
                <w:sz w:val="24"/>
                <w:szCs w:val="24"/>
              </w:rPr>
              <w:t xml:space="preserve"> ("w którym w czasie badania technicznego stwierdzono ślady uszkodzeń lub naruszenie elementów nośnych konstrukcji pojazdu, mogących stwarzać zagrożenie bezpieczeństwa ruchu drogowego") 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r>
              <w:rPr>
                <w:b/>
                <w:bCs/>
                <w:sz w:val="24"/>
                <w:szCs w:val="24"/>
              </w:rPr>
              <w:t>b) w przypadku wystąpienia szkody istotnej.</w:t>
            </w:r>
          </w:p>
          <w:p w:rsidR="0047722B" w:rsidRDefault="00E87045">
            <w:pPr>
              <w:widowControl/>
              <w:spacing w:beforeAutospacing="1" w:afterAutospacing="1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Samochód osobowy </w:t>
            </w:r>
            <w:r>
              <w:rPr>
                <w:sz w:val="24"/>
                <w:szCs w:val="24"/>
              </w:rPr>
              <w:t>może być czasowo wycofany z ruchu na okres od 3 do 12 miesięcy bez możliwości przedłużenia tego okresu i nie wcześniej niż po upływie 3 lat od dnia, w którym upłynął okres czasowego wycofania określony w ostatniej decyzji o jego czasowym wycofaniu z ruchu.</w:t>
            </w:r>
          </w:p>
          <w:p w:rsidR="0047722B" w:rsidRDefault="00E87045">
            <w:pPr>
              <w:widowControl/>
              <w:spacing w:beforeAutospacing="1" w:afterAutospacing="1"/>
              <w:ind w:left="720"/>
            </w:pPr>
            <w:r>
              <w:rPr>
                <w:b/>
                <w:bCs/>
                <w:sz w:val="24"/>
                <w:szCs w:val="24"/>
              </w:rPr>
              <w:t>Opłata</w:t>
            </w:r>
            <w:r>
              <w:rPr>
                <w:sz w:val="24"/>
                <w:szCs w:val="24"/>
              </w:rPr>
              <w:t xml:space="preserve"> za decyzję o czasowym wycofaniu samochodu osobowego z ruchu na okres 3 miesięcy wynosi 80 zł.  Za każdy kolejny miesiąc wycofania pojazdu z ruchu (od 4 do 12 m-ca), opłatę zwiększa się o 4,00zł .</w:t>
            </w:r>
          </w:p>
        </w:tc>
      </w:tr>
      <w:tr w:rsidR="0047722B">
        <w:trPr>
          <w:trHeight w:val="832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Podstawa prawna 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widowControl/>
            </w:pPr>
            <w:r>
              <w:rPr>
                <w:sz w:val="24"/>
                <w:szCs w:val="24"/>
              </w:rPr>
              <w:t>Prawo o ruchu drogowym (Dz. U. z 2</w:t>
            </w:r>
            <w:r>
              <w:rPr>
                <w:sz w:val="24"/>
                <w:szCs w:val="24"/>
              </w:rPr>
              <w:t>023r. poz. 1047  ze zm.)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Kodeks postępowania administracyjnego (Dz. U. z  2023r. poz. 775  ze zm.)</w:t>
            </w:r>
          </w:p>
          <w:p w:rsidR="0047722B" w:rsidRDefault="0047722B">
            <w:pPr>
              <w:widowControl/>
              <w:rPr>
                <w:sz w:val="24"/>
                <w:szCs w:val="24"/>
              </w:rPr>
            </w:pPr>
          </w:p>
        </w:tc>
      </w:tr>
      <w:tr w:rsidR="0047722B">
        <w:trPr>
          <w:trHeight w:val="692"/>
        </w:trPr>
        <w:tc>
          <w:tcPr>
            <w:tcW w:w="23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Wzory wniosków</w:t>
            </w:r>
          </w:p>
        </w:tc>
        <w:tc>
          <w:tcPr>
            <w:tcW w:w="7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7722B" w:rsidRDefault="00E87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WUK-W-3(2)</w:t>
            </w:r>
          </w:p>
        </w:tc>
      </w:tr>
    </w:tbl>
    <w:p w:rsidR="0047722B" w:rsidRDefault="00E87045">
      <w:pPr>
        <w:shd w:val="clear" w:color="auto" w:fill="FFFFFF"/>
        <w:ind w:left="53"/>
      </w:pPr>
      <w:r>
        <w:rPr>
          <w:i/>
          <w:iCs/>
          <w:spacing w:val="-2"/>
        </w:rPr>
        <w:t>Uwaga: aktualność karty jest sprawdzana nie rzadziej niż raz w roku</w:t>
      </w:r>
    </w:p>
    <w:p w:rsidR="0047722B" w:rsidRDefault="0047722B">
      <w:pPr>
        <w:shd w:val="clear" w:color="auto" w:fill="FFFFFF"/>
        <w:ind w:left="53"/>
        <w:jc w:val="center"/>
        <w:rPr>
          <w:i/>
          <w:iCs/>
          <w:color w:val="000000"/>
          <w:spacing w:val="-2"/>
        </w:rPr>
      </w:pPr>
    </w:p>
    <w:tbl>
      <w:tblPr>
        <w:tblW w:w="10207" w:type="dxa"/>
        <w:tblInd w:w="-24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  <w:right w:w="40" w:type="dxa"/>
        </w:tblCellMar>
        <w:tblLook w:val="0000" w:firstRow="0" w:lastRow="0" w:firstColumn="0" w:lastColumn="0" w:noHBand="0" w:noVBand="0"/>
      </w:tblPr>
      <w:tblGrid>
        <w:gridCol w:w="3356"/>
        <w:gridCol w:w="3307"/>
        <w:gridCol w:w="3544"/>
      </w:tblGrid>
      <w:tr w:rsidR="0047722B">
        <w:trPr>
          <w:trHeight w:hRule="exact" w:val="316"/>
        </w:trPr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OPRACOWAŁ:</w:t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SPRAWDZIŁ: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b/>
              </w:rPr>
            </w:pPr>
            <w:r>
              <w:rPr>
                <w:b/>
              </w:rPr>
              <w:t>ZATWIERDZIŁ:</w:t>
            </w:r>
          </w:p>
        </w:tc>
      </w:tr>
      <w:tr w:rsidR="0047722B">
        <w:trPr>
          <w:trHeight w:hRule="exact" w:val="905"/>
        </w:trPr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Stanowisko ds. </w:t>
            </w:r>
            <w:r>
              <w:rPr>
                <w:i/>
                <w:sz w:val="24"/>
                <w:szCs w:val="24"/>
              </w:rPr>
              <w:t>rejestracji i oznaczania pojazdów</w:t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Dyrektor Wydziału Uprawnień Komunikacyjnych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E870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Sekretarz Miasta</w:t>
            </w:r>
          </w:p>
        </w:tc>
      </w:tr>
      <w:tr w:rsidR="0047722B">
        <w:trPr>
          <w:trHeight w:hRule="exact" w:val="1787"/>
        </w:trPr>
        <w:tc>
          <w:tcPr>
            <w:tcW w:w="3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7722B" w:rsidRDefault="0047722B">
            <w:pPr>
              <w:rPr>
                <w:i/>
                <w:sz w:val="24"/>
                <w:szCs w:val="24"/>
              </w:rPr>
            </w:pPr>
          </w:p>
          <w:p w:rsidR="0047722B" w:rsidRDefault="0047722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7722B" w:rsidRDefault="0047722B">
      <w:pPr>
        <w:shd w:val="clear" w:color="auto" w:fill="FFFFFF"/>
      </w:pPr>
    </w:p>
    <w:p w:rsidR="0047722B" w:rsidRDefault="0047722B"/>
    <w:sectPr w:rsidR="0047722B">
      <w:footerReference w:type="default" r:id="rId10"/>
      <w:footerReference w:type="first" r:id="rId11"/>
      <w:pgSz w:w="11906" w:h="16838"/>
      <w:pgMar w:top="726" w:right="1287" w:bottom="766" w:left="1378" w:header="0" w:footer="709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7045">
      <w:r>
        <w:separator/>
      </w:r>
    </w:p>
  </w:endnote>
  <w:endnote w:type="continuationSeparator" w:id="0">
    <w:p w:rsidR="00000000" w:rsidRDefault="00E8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2B" w:rsidRDefault="0047722B">
    <w:pPr>
      <w:pStyle w:val="Tekstpodstawowy3"/>
      <w:spacing w:after="0"/>
    </w:pPr>
  </w:p>
  <w:p w:rsidR="0047722B" w:rsidRDefault="00E87045">
    <w:pPr>
      <w:pStyle w:val="Stopka"/>
      <w:pBdr>
        <w:top w:val="single" w:sz="4" w:space="1" w:color="00000A"/>
      </w:pBdr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2B" w:rsidRDefault="00E87045">
    <w:pPr>
      <w:pStyle w:val="Stopka"/>
      <w:pBdr>
        <w:top w:val="single" w:sz="4" w:space="1" w:color="00000A"/>
      </w:pBdr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7045">
      <w:r>
        <w:separator/>
      </w:r>
    </w:p>
  </w:footnote>
  <w:footnote w:type="continuationSeparator" w:id="0">
    <w:p w:rsidR="00000000" w:rsidRDefault="00E8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2C6"/>
    <w:multiLevelType w:val="multilevel"/>
    <w:tmpl w:val="B362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9339FF"/>
    <w:multiLevelType w:val="multilevel"/>
    <w:tmpl w:val="494E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A3"/>
    <w:multiLevelType w:val="multilevel"/>
    <w:tmpl w:val="F0220B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2B"/>
    <w:rsid w:val="0047722B"/>
    <w:rsid w:val="00E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0E6"/>
    <w:pPr>
      <w:widowControl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260E6"/>
    <w:pPr>
      <w:widowControl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260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260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260E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60E6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7254F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styleId="Tekstzastpczy">
    <w:name w:val="Placeholder Text"/>
    <w:basedOn w:val="Domylnaczcionkaakapitu"/>
    <w:qFormat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8260E6"/>
    <w:pPr>
      <w:widowControl/>
      <w:spacing w:beforeAutospacing="1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60E6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8260E6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60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4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0E6"/>
    <w:pPr>
      <w:widowControl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260E6"/>
    <w:pPr>
      <w:widowControl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8260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260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260E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60E6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7254F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styleId="Tekstzastpczy">
    <w:name w:val="Placeholder Text"/>
    <w:basedOn w:val="Domylnaczcionkaakapitu"/>
    <w:qFormat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8260E6"/>
    <w:pPr>
      <w:widowControl/>
      <w:spacing w:beforeAutospacing="1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60E6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8260E6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60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49A5-5449-46B3-9D4E-91B21C85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1116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dc:description/>
  <cp:lastModifiedBy>Wojtek</cp:lastModifiedBy>
  <cp:revision>40</cp:revision>
  <dcterms:created xsi:type="dcterms:W3CDTF">2013-12-02T18:54:00Z</dcterms:created>
  <dcterms:modified xsi:type="dcterms:W3CDTF">2024-01-10T18:03:00Z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